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ACB1" w14:textId="77777777" w:rsidR="000A48E3" w:rsidRDefault="000A48E3" w:rsidP="000A48E3">
      <w:pPr>
        <w:spacing w:after="0"/>
        <w:jc w:val="right"/>
      </w:pPr>
      <w:r>
        <w:t>Address1</w:t>
      </w:r>
    </w:p>
    <w:p w14:paraId="68AFA43E" w14:textId="77777777" w:rsidR="000A48E3" w:rsidRDefault="000A48E3" w:rsidP="000A48E3">
      <w:pPr>
        <w:spacing w:after="0"/>
        <w:jc w:val="right"/>
      </w:pPr>
      <w:r>
        <w:t>Address2</w:t>
      </w:r>
    </w:p>
    <w:p w14:paraId="353CC33B" w14:textId="77777777" w:rsidR="000A48E3" w:rsidRDefault="000A48E3" w:rsidP="000A48E3">
      <w:pPr>
        <w:spacing w:after="0"/>
        <w:jc w:val="right"/>
      </w:pPr>
      <w:r>
        <w:t>Address3</w:t>
      </w:r>
    </w:p>
    <w:p w14:paraId="771A7DB4" w14:textId="77777777" w:rsidR="000A48E3" w:rsidRDefault="000A48E3" w:rsidP="000A48E3">
      <w:pPr>
        <w:spacing w:after="0"/>
        <w:jc w:val="right"/>
      </w:pPr>
      <w:r>
        <w:t>Address 4</w:t>
      </w:r>
    </w:p>
    <w:p w14:paraId="4E556956" w14:textId="77777777" w:rsidR="000A48E3" w:rsidRDefault="000A48E3" w:rsidP="000A48E3">
      <w:pPr>
        <w:spacing w:after="0"/>
        <w:jc w:val="right"/>
      </w:pPr>
      <w:r>
        <w:t>Date</w:t>
      </w:r>
    </w:p>
    <w:p w14:paraId="3DB6E754" w14:textId="77777777" w:rsidR="000A48E3" w:rsidRDefault="000A48E3"/>
    <w:p w14:paraId="2CD54840" w14:textId="77777777" w:rsidR="00A07DB7" w:rsidRDefault="00FC46B0">
      <w:r>
        <w:t>Dear xxx</w:t>
      </w:r>
      <w:r w:rsidR="00AA7610">
        <w:t>,</w:t>
      </w:r>
    </w:p>
    <w:p w14:paraId="0D4184B6" w14:textId="77777777" w:rsidR="00FC46B0" w:rsidRDefault="00FC46B0">
      <w:r>
        <w:t xml:space="preserve">I am writing to you as my MP because I am concerned about the state of </w:t>
      </w:r>
      <w:r w:rsidR="00AA7610">
        <w:t xml:space="preserve">the </w:t>
      </w:r>
      <w:r>
        <w:t>rivers in our constituency</w:t>
      </w:r>
      <w:r w:rsidR="00C607E7">
        <w:t>, specifically in relation to sewage pollution</w:t>
      </w:r>
      <w:r>
        <w:t>.</w:t>
      </w:r>
    </w:p>
    <w:p w14:paraId="258CFC35" w14:textId="77777777" w:rsidR="00FC46B0" w:rsidRDefault="00C607E7">
      <w:r>
        <w:t xml:space="preserve">Only 14% of England’s rivers are classified as being in good ecologic condition </w:t>
      </w:r>
      <w:r w:rsidR="00AA7610">
        <w:t>under Water Framework Directive. S</w:t>
      </w:r>
      <w:r>
        <w:t>ewage pollution is one of the major factors</w:t>
      </w:r>
      <w:r w:rsidR="00AA7610">
        <w:t xml:space="preserve"> for their poor condition. In</w:t>
      </w:r>
      <w:r>
        <w:t xml:space="preserve"> 2020 raw sewage was spilt into rivers </w:t>
      </w:r>
      <w:proofErr w:type="spellStart"/>
      <w:r>
        <w:t>xxxx</w:t>
      </w:r>
      <w:proofErr w:type="spellEnd"/>
      <w:r>
        <w:t xml:space="preserve"> times, for </w:t>
      </w:r>
      <w:proofErr w:type="spellStart"/>
      <w:r>
        <w:t>xxxx</w:t>
      </w:r>
      <w:proofErr w:type="spellEnd"/>
      <w:r>
        <w:t xml:space="preserve"> hours</w:t>
      </w:r>
      <w:r w:rsidR="00AA7610">
        <w:t>, in this constituency</w:t>
      </w:r>
      <w:r>
        <w:t xml:space="preserve">, according to data made available by the Rivers Trust. </w:t>
      </w:r>
      <w:r w:rsidR="00E56B36">
        <w:t>The scale of sewage pollution is damaging our rivers and threatening the health of river-users.</w:t>
      </w:r>
    </w:p>
    <w:p w14:paraId="2CB438AC" w14:textId="77777777" w:rsidR="00717D7D" w:rsidRDefault="00E56B36">
      <w:r>
        <w:t>The</w:t>
      </w:r>
      <w:r w:rsidR="00C607E7">
        <w:t xml:space="preserve"> data </w:t>
      </w:r>
      <w:r>
        <w:t xml:space="preserve">on sewage pollution </w:t>
      </w:r>
      <w:r w:rsidR="00C607E7">
        <w:t>was brought to my attention by CPRE North Yorkshire, who have</w:t>
      </w:r>
      <w:r w:rsidR="00AA7610">
        <w:t xml:space="preserve"> recently</w:t>
      </w:r>
      <w:r w:rsidR="00C607E7">
        <w:t xml:space="preserve"> highlighted the value of rivers to </w:t>
      </w:r>
      <w:r w:rsidR="00AA7610">
        <w:t xml:space="preserve">the </w:t>
      </w:r>
      <w:r w:rsidR="00C607E7">
        <w:t>environment and economy of our area and to people’s health and wellbeing.</w:t>
      </w:r>
      <w:r w:rsidR="00AA7610">
        <w:t xml:space="preserve"> </w:t>
      </w:r>
      <w:r>
        <w:t>They also</w:t>
      </w:r>
      <w:r w:rsidR="00AA7610">
        <w:t xml:space="preserve"> highlighted measures individuals can take to improve the health of our rivers</w:t>
      </w:r>
      <w:r>
        <w:t>, but political and legislative changes are also needed to achieve the dramatic improvements that are needed.</w:t>
      </w:r>
    </w:p>
    <w:p w14:paraId="18EEF9E6" w14:textId="77777777" w:rsidR="00C607E7" w:rsidRDefault="00AA7610" w:rsidP="000A48E3">
      <w:pPr>
        <w:spacing w:after="0"/>
      </w:pPr>
      <w:r>
        <w:t xml:space="preserve">As my MP I would be grateful if you could use your influence to help address this alarming problem </w:t>
      </w:r>
      <w:r w:rsidR="00717D7D">
        <w:t>by:</w:t>
      </w:r>
    </w:p>
    <w:p w14:paraId="22F5B71C" w14:textId="77777777" w:rsidR="00717D7D" w:rsidRDefault="00AA7610" w:rsidP="00717D7D">
      <w:pPr>
        <w:pStyle w:val="ListParagraph"/>
        <w:numPr>
          <w:ilvl w:val="0"/>
          <w:numId w:val="1"/>
        </w:numPr>
      </w:pPr>
      <w:r>
        <w:t xml:space="preserve">Pressing Government to </w:t>
      </w:r>
      <w:r w:rsidR="00E56B36">
        <w:t>take action</w:t>
      </w:r>
      <w:r>
        <w:t>, particularly by s</w:t>
      </w:r>
      <w:r w:rsidR="00717D7D">
        <w:t>upporting amendments to the Environment Bill that place a duty on government to clean up our rivers and a duty on water companies to reduce sewage spills and to improve their monitoring and reporting of incidents.</w:t>
      </w:r>
    </w:p>
    <w:p w14:paraId="477E7CBF" w14:textId="77777777" w:rsidR="00717D7D" w:rsidRDefault="00AA7610" w:rsidP="00717D7D">
      <w:pPr>
        <w:pStyle w:val="ListParagraph"/>
        <w:numPr>
          <w:ilvl w:val="0"/>
          <w:numId w:val="1"/>
        </w:numPr>
      </w:pPr>
      <w:r>
        <w:t xml:space="preserve">In any dealings with water companies, stressing the need for them to invest and upgrade their infrastructure to tackle the problem of sewage pollution and </w:t>
      </w:r>
      <w:r w:rsidR="00E56B36">
        <w:t xml:space="preserve">to </w:t>
      </w:r>
      <w:r>
        <w:t>improve their monitoring and reporting of sewage spills</w:t>
      </w:r>
      <w:r w:rsidR="00E56B36">
        <w:t>, for the benefit of your constituents</w:t>
      </w:r>
      <w:r>
        <w:t>.</w:t>
      </w:r>
    </w:p>
    <w:p w14:paraId="5A84817A" w14:textId="77777777" w:rsidR="00AA7610" w:rsidRDefault="00AA7610" w:rsidP="00AA7610">
      <w:r>
        <w:t>Yours sincerely,</w:t>
      </w:r>
    </w:p>
    <w:p w14:paraId="28681A36" w14:textId="77777777" w:rsidR="00AA7610" w:rsidRDefault="000A48E3" w:rsidP="00AA7610">
      <w:proofErr w:type="spellStart"/>
      <w:r>
        <w:t>X</w:t>
      </w:r>
      <w:r w:rsidR="00AA7610">
        <w:t>xxx</w:t>
      </w:r>
      <w:proofErr w:type="spellEnd"/>
    </w:p>
    <w:p w14:paraId="3CC24AE1" w14:textId="77777777" w:rsidR="000A48E3" w:rsidRDefault="000A48E3" w:rsidP="00AA7610"/>
    <w:p w14:paraId="04BF7B99" w14:textId="77777777" w:rsidR="000A48E3" w:rsidRDefault="000A48E3" w:rsidP="00AA7610"/>
    <w:p w14:paraId="40F5589A" w14:textId="77777777" w:rsidR="000A48E3" w:rsidRDefault="000A48E3" w:rsidP="00AA7610"/>
    <w:p w14:paraId="1F54D261" w14:textId="77777777" w:rsidR="000A48E3" w:rsidRDefault="000A48E3" w:rsidP="00AA7610"/>
    <w:p w14:paraId="1417A331" w14:textId="77777777" w:rsidR="000A48E3" w:rsidRDefault="000A48E3" w:rsidP="00AA7610"/>
    <w:p w14:paraId="69DC3B02" w14:textId="77777777" w:rsidR="000A48E3" w:rsidRDefault="000A48E3" w:rsidP="00AA7610"/>
    <w:p w14:paraId="40D09C02" w14:textId="77777777" w:rsidR="000A48E3" w:rsidRPr="000A48E3" w:rsidRDefault="000A48E3" w:rsidP="00AA7610">
      <w:pPr>
        <w:rPr>
          <w:b/>
        </w:rPr>
      </w:pPr>
      <w:r>
        <w:rPr>
          <w:b/>
        </w:rPr>
        <w:lastRenderedPageBreak/>
        <w:t xml:space="preserve">Raw Sewage Spills in North Yorkshire in 2020 by Constituency (analysed by CPRE North Yorkshire) </w:t>
      </w: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976"/>
        <w:gridCol w:w="1148"/>
        <w:gridCol w:w="1520"/>
        <w:gridCol w:w="1457"/>
        <w:gridCol w:w="1054"/>
      </w:tblGrid>
      <w:tr w:rsidR="000A48E3" w:rsidRPr="00D0548D" w14:paraId="41F848B0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1DFDE23A" w14:textId="77777777" w:rsidR="000A48E3" w:rsidRPr="00B53CBE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Constituency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DC9B52" w14:textId="77777777" w:rsidR="000A48E3" w:rsidRPr="00B53CBE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raw sewage spills in 2020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D3F60DF" w14:textId="77777777" w:rsidR="000A48E3" w:rsidRPr="00B53CBE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d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uration 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of raw sewage spills 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  <w:tc>
          <w:tcPr>
            <w:tcW w:w="1520" w:type="dxa"/>
          </w:tcPr>
          <w:p w14:paraId="43741ACF" w14:textId="77777777" w:rsidR="000A48E3" w:rsidRPr="00D0548D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sites (sewage treatment works or Combined Sewer Overflows)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8356232" w14:textId="77777777" w:rsidR="000A48E3" w:rsidRPr="00B53CBE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Ave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rage number of spills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per site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30500B1" w14:textId="77777777" w:rsidR="000A48E3" w:rsidRPr="00B53CBE" w:rsidRDefault="000A48E3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Ave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rage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duration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per site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</w:tr>
      <w:tr w:rsidR="00D0548D" w:rsidRPr="00D0548D" w14:paraId="78D0BF6D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6D095F3A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Thirsk and Malton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97255D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0812CD7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22129</w:t>
            </w:r>
          </w:p>
        </w:tc>
        <w:tc>
          <w:tcPr>
            <w:tcW w:w="1520" w:type="dxa"/>
            <w:vAlign w:val="bottom"/>
          </w:tcPr>
          <w:p w14:paraId="46A1F598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E57989E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186BB6B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166</w:t>
            </w:r>
          </w:p>
        </w:tc>
      </w:tr>
      <w:tr w:rsidR="00D0548D" w:rsidRPr="00D0548D" w14:paraId="4147F727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7B4CA457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Middlesbrough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49A59A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262D280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520" w:type="dxa"/>
            <w:vAlign w:val="bottom"/>
          </w:tcPr>
          <w:p w14:paraId="74322BE6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3CB079F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EF03C58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0548D" w:rsidRPr="00D0548D" w14:paraId="612B1E30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00E15E53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Middlesbrough S and E Cleveland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C50BF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64E28AE0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1520" w:type="dxa"/>
            <w:vAlign w:val="bottom"/>
          </w:tcPr>
          <w:p w14:paraId="61F6905C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B0D0338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4D416777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D0548D" w:rsidRPr="00D0548D" w14:paraId="1C75BFC0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4E320F19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Richmond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17A0EFE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729E091A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49124</w:t>
            </w:r>
          </w:p>
        </w:tc>
        <w:tc>
          <w:tcPr>
            <w:tcW w:w="1520" w:type="dxa"/>
            <w:vAlign w:val="bottom"/>
          </w:tcPr>
          <w:p w14:paraId="33D01AC4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19F8F78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714FC642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435</w:t>
            </w:r>
          </w:p>
        </w:tc>
      </w:tr>
      <w:tr w:rsidR="00D0548D" w:rsidRPr="00D0548D" w14:paraId="5A7B3240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6C49E045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Redcar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2DA7C2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7899E83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520" w:type="dxa"/>
            <w:vAlign w:val="bottom"/>
          </w:tcPr>
          <w:p w14:paraId="1592C3AF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A69DDFA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A758BA7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0548D" w:rsidRPr="00D0548D" w14:paraId="528C2384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43439E03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Scarborough and Whitby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411ADFD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54C6EAC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8585</w:t>
            </w:r>
          </w:p>
        </w:tc>
        <w:tc>
          <w:tcPr>
            <w:tcW w:w="1520" w:type="dxa"/>
            <w:vAlign w:val="bottom"/>
          </w:tcPr>
          <w:p w14:paraId="603E72F5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CCFCDD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110D9EA7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128</w:t>
            </w:r>
          </w:p>
        </w:tc>
      </w:tr>
      <w:tr w:rsidR="00D0548D" w:rsidRPr="00D0548D" w14:paraId="0E9BA0FC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653B574B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York Outer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090B801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3AEFDD73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5124</w:t>
            </w:r>
          </w:p>
        </w:tc>
        <w:tc>
          <w:tcPr>
            <w:tcW w:w="1520" w:type="dxa"/>
            <w:vAlign w:val="bottom"/>
          </w:tcPr>
          <w:p w14:paraId="1F0F4B83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28D0A60D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677F02CF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D0548D" w:rsidRPr="00D0548D" w14:paraId="446B6B13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037B989A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sz w:val="20"/>
                <w:szCs w:val="20"/>
                <w:lang w:eastAsia="en-GB"/>
              </w:rPr>
              <w:t>Selby and Ainsty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799F023" w14:textId="77777777" w:rsidR="00D0548D" w:rsidRPr="00D0548D" w:rsidRDefault="00D0548D" w:rsidP="00D0548D">
            <w:pPr>
              <w:spacing w:after="0"/>
              <w:jc w:val="right"/>
              <w:rPr>
                <w:sz w:val="20"/>
                <w:szCs w:val="20"/>
              </w:rPr>
            </w:pPr>
            <w:r w:rsidRPr="00D0548D">
              <w:rPr>
                <w:sz w:val="20"/>
                <w:szCs w:val="20"/>
              </w:rPr>
              <w:t>2385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79E3E4A" w14:textId="77777777" w:rsidR="00D0548D" w:rsidRPr="00D0548D" w:rsidRDefault="00D0548D" w:rsidP="00D0548D">
            <w:pPr>
              <w:spacing w:after="0"/>
              <w:jc w:val="right"/>
              <w:rPr>
                <w:sz w:val="20"/>
                <w:szCs w:val="20"/>
              </w:rPr>
            </w:pPr>
            <w:r w:rsidRPr="00D0548D">
              <w:rPr>
                <w:sz w:val="20"/>
                <w:szCs w:val="20"/>
              </w:rPr>
              <w:t>18847</w:t>
            </w:r>
          </w:p>
        </w:tc>
        <w:tc>
          <w:tcPr>
            <w:tcW w:w="1520" w:type="dxa"/>
            <w:vAlign w:val="bottom"/>
          </w:tcPr>
          <w:p w14:paraId="7CC872F9" w14:textId="77777777" w:rsidR="00D0548D" w:rsidRPr="00D0548D" w:rsidRDefault="00D0548D" w:rsidP="00D0548D">
            <w:pPr>
              <w:spacing w:after="0"/>
              <w:jc w:val="right"/>
              <w:rPr>
                <w:sz w:val="20"/>
                <w:szCs w:val="20"/>
              </w:rPr>
            </w:pPr>
            <w:r w:rsidRPr="00D0548D">
              <w:rPr>
                <w:sz w:val="20"/>
                <w:szCs w:val="20"/>
              </w:rPr>
              <w:t>63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30EFAF59" w14:textId="77777777" w:rsidR="00D0548D" w:rsidRPr="00D0548D" w:rsidRDefault="00D0548D" w:rsidP="00D0548D">
            <w:pPr>
              <w:spacing w:after="0"/>
              <w:jc w:val="right"/>
              <w:rPr>
                <w:sz w:val="20"/>
                <w:szCs w:val="20"/>
              </w:rPr>
            </w:pPr>
            <w:r w:rsidRPr="00D0548D">
              <w:rPr>
                <w:sz w:val="20"/>
                <w:szCs w:val="20"/>
              </w:rPr>
              <w:t>38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7626AA97" w14:textId="77777777" w:rsidR="00D0548D" w:rsidRPr="00D0548D" w:rsidRDefault="00D0548D" w:rsidP="00D0548D">
            <w:pPr>
              <w:spacing w:after="0"/>
              <w:jc w:val="right"/>
              <w:rPr>
                <w:sz w:val="20"/>
                <w:szCs w:val="20"/>
              </w:rPr>
            </w:pPr>
            <w:r w:rsidRPr="00D0548D">
              <w:rPr>
                <w:sz w:val="20"/>
                <w:szCs w:val="20"/>
              </w:rPr>
              <w:t>299</w:t>
            </w:r>
          </w:p>
        </w:tc>
      </w:tr>
      <w:tr w:rsidR="00D0548D" w:rsidRPr="00D0548D" w14:paraId="5E87B5B7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67F79A6E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Skipton and Ripon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EC68B2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0548D">
              <w:rPr>
                <w:b/>
                <w:bCs/>
                <w:sz w:val="20"/>
                <w:szCs w:val="20"/>
              </w:rPr>
              <w:t>6325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28793C5F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0548D">
              <w:rPr>
                <w:b/>
                <w:bCs/>
                <w:sz w:val="20"/>
                <w:szCs w:val="20"/>
              </w:rPr>
              <w:t>63889</w:t>
            </w:r>
          </w:p>
        </w:tc>
        <w:tc>
          <w:tcPr>
            <w:tcW w:w="1520" w:type="dxa"/>
            <w:vAlign w:val="bottom"/>
          </w:tcPr>
          <w:p w14:paraId="4E0DDBD5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0548D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4B7539F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0548D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80FBB0E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D0548D">
              <w:rPr>
                <w:b/>
                <w:bCs/>
                <w:sz w:val="20"/>
                <w:szCs w:val="20"/>
              </w:rPr>
              <w:t>519</w:t>
            </w:r>
          </w:p>
        </w:tc>
      </w:tr>
      <w:tr w:rsidR="00D0548D" w:rsidRPr="00D0548D" w14:paraId="7DC5F09E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17531F13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York Central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ADBDD76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1836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0FCBF59A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14838</w:t>
            </w:r>
          </w:p>
        </w:tc>
        <w:tc>
          <w:tcPr>
            <w:tcW w:w="1520" w:type="dxa"/>
            <w:vAlign w:val="bottom"/>
          </w:tcPr>
          <w:p w14:paraId="1E99C0A2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B7FB65C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3D83A10B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D0548D" w:rsidRPr="00D0548D" w14:paraId="729F1D66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2DACE47F" w14:textId="77777777" w:rsidR="00D0548D" w:rsidRPr="00B53CBE" w:rsidRDefault="00D0548D" w:rsidP="00D054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Harrogate and Knaresborough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CC6A2CB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4B602A99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7486</w:t>
            </w:r>
          </w:p>
        </w:tc>
        <w:tc>
          <w:tcPr>
            <w:tcW w:w="1520" w:type="dxa"/>
            <w:vAlign w:val="bottom"/>
          </w:tcPr>
          <w:p w14:paraId="434F1C27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4CF7E593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5D2F1756" w14:textId="77777777" w:rsidR="00D0548D" w:rsidRPr="00D0548D" w:rsidRDefault="00D0548D" w:rsidP="00D0548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D0548D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D0548D" w:rsidRPr="00D0548D" w14:paraId="5AAAE613" w14:textId="77777777" w:rsidTr="000A48E3">
        <w:trPr>
          <w:trHeight w:val="300"/>
        </w:trPr>
        <w:tc>
          <w:tcPr>
            <w:tcW w:w="2994" w:type="dxa"/>
            <w:shd w:val="clear" w:color="auto" w:fill="auto"/>
            <w:noWrap/>
            <w:vAlign w:val="bottom"/>
            <w:hideMark/>
          </w:tcPr>
          <w:p w14:paraId="5D37C61E" w14:textId="77777777" w:rsidR="00D0548D" w:rsidRPr="00B53CBE" w:rsidRDefault="00D0548D" w:rsidP="00D054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Totals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(North Yorkshire)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B854AD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23367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14:paraId="1D953A48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195084</w:t>
            </w:r>
          </w:p>
        </w:tc>
        <w:tc>
          <w:tcPr>
            <w:tcW w:w="1520" w:type="dxa"/>
            <w:vAlign w:val="bottom"/>
          </w:tcPr>
          <w:p w14:paraId="00E98FF0" w14:textId="77777777" w:rsidR="00D0548D" w:rsidRPr="00D0548D" w:rsidRDefault="00D0548D" w:rsidP="00D0548D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548D">
              <w:rPr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B438B02" w14:textId="77777777" w:rsidR="00D0548D" w:rsidRPr="00B53CBE" w:rsidRDefault="00D0548D" w:rsidP="00D054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(Ave </w:t>
            </w:r>
            <w:r w:rsidRPr="00B53CB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32.6</w:t>
            </w:r>
            <w:r w:rsidRPr="00D054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14:paraId="093894A3" w14:textId="77777777" w:rsidR="00D0548D" w:rsidRPr="00B53CBE" w:rsidRDefault="00D0548D" w:rsidP="00D0548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(Ave </w:t>
            </w:r>
            <w:r w:rsidRPr="00B53CBE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248.9</w:t>
            </w:r>
            <w:r w:rsidRPr="00D0548D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14:paraId="69495994" w14:textId="77777777" w:rsidR="000A48E3" w:rsidRDefault="000A48E3" w:rsidP="00AA7610"/>
    <w:p w14:paraId="3DFE6FDD" w14:textId="77777777" w:rsidR="00D0548D" w:rsidRPr="000A48E3" w:rsidRDefault="00D0548D" w:rsidP="00D0548D">
      <w:pPr>
        <w:rPr>
          <w:b/>
        </w:rPr>
      </w:pPr>
      <w:r>
        <w:rPr>
          <w:b/>
        </w:rPr>
        <w:t xml:space="preserve">Raw Sewage Spills in North Yorkshire in 2020 by Water Company (analysed by CPRE North Yorkshire) 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124"/>
        <w:gridCol w:w="1134"/>
        <w:gridCol w:w="1560"/>
        <w:gridCol w:w="1417"/>
        <w:gridCol w:w="992"/>
      </w:tblGrid>
      <w:tr w:rsidR="00D0548D" w:rsidRPr="000A48E3" w14:paraId="699E345B" w14:textId="77777777" w:rsidTr="00425CF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51636BE" w14:textId="77777777" w:rsidR="00D0548D" w:rsidRPr="000A48E3" w:rsidRDefault="00D0548D" w:rsidP="000A48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Water Company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203EFF7A" w14:textId="77777777" w:rsidR="00D0548D" w:rsidRPr="00B53CBE" w:rsidRDefault="00D0548D" w:rsidP="00015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raw sewage spills in 2020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DBA6BD" w14:textId="77777777" w:rsidR="00D0548D" w:rsidRPr="00B53CBE" w:rsidRDefault="00D0548D" w:rsidP="00015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d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uration 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of raw sewage spills 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hours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4987C13" w14:textId="77777777" w:rsidR="00D0548D" w:rsidRPr="00D0548D" w:rsidRDefault="00D0548D" w:rsidP="00015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sites (sewage treatment works or Combined Sewer Overflows)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DCAF76" w14:textId="77777777" w:rsidR="00D0548D" w:rsidRPr="00B53CBE" w:rsidRDefault="00D0548D" w:rsidP="00015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Ave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rage number of spills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per site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3EB15" w14:textId="77777777" w:rsidR="00D0548D" w:rsidRPr="00B53CBE" w:rsidRDefault="00D0548D" w:rsidP="00015C2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Ave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rage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duration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of</w:t>
            </w:r>
            <w:r w:rsidRPr="00B53CB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per site</w:t>
            </w:r>
            <w:r w:rsidRPr="00D0548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 2020</w:t>
            </w:r>
          </w:p>
        </w:tc>
      </w:tr>
      <w:tr w:rsidR="000A48E3" w:rsidRPr="000A48E3" w14:paraId="18987E0A" w14:textId="77777777" w:rsidTr="00D0548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54B7BF2" w14:textId="77777777" w:rsidR="000A48E3" w:rsidRPr="000A48E3" w:rsidRDefault="000A48E3" w:rsidP="000A4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Northumbrian 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6BDEDA8A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2C210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17642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8BC93C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B3F271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8A541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</w:tr>
      <w:tr w:rsidR="000A48E3" w:rsidRPr="000A48E3" w14:paraId="005896D1" w14:textId="77777777" w:rsidTr="00D0548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2D280DCA" w14:textId="77777777" w:rsidR="000A48E3" w:rsidRPr="000A48E3" w:rsidRDefault="000A48E3" w:rsidP="000A48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United Utilities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74A5D526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EEF9AF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20478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ED7130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C0446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DCAFFE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GB"/>
              </w:rPr>
              <w:t>1365</w:t>
            </w:r>
          </w:p>
        </w:tc>
      </w:tr>
      <w:tr w:rsidR="000A48E3" w:rsidRPr="000A48E3" w14:paraId="641A1B90" w14:textId="77777777" w:rsidTr="00D0548D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19E86FF" w14:textId="77777777" w:rsidR="000A48E3" w:rsidRPr="000A48E3" w:rsidRDefault="000A48E3" w:rsidP="000A4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Yorkshire Water</w:t>
            </w:r>
          </w:p>
        </w:tc>
        <w:tc>
          <w:tcPr>
            <w:tcW w:w="2124" w:type="dxa"/>
            <w:shd w:val="clear" w:color="auto" w:fill="auto"/>
            <w:noWrap/>
            <w:vAlign w:val="bottom"/>
            <w:hideMark/>
          </w:tcPr>
          <w:p w14:paraId="19ADD1E3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59ACE2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156963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4A3583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F3D381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05F1CD" w14:textId="77777777" w:rsidR="000A48E3" w:rsidRPr="000A48E3" w:rsidRDefault="000A48E3" w:rsidP="000A48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A48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264</w:t>
            </w:r>
          </w:p>
        </w:tc>
      </w:tr>
    </w:tbl>
    <w:p w14:paraId="58A05833" w14:textId="77777777" w:rsidR="000A48E3" w:rsidRDefault="000A48E3" w:rsidP="00AA7610"/>
    <w:p w14:paraId="1A648428" w14:textId="77777777" w:rsidR="00E14265" w:rsidRDefault="00E14265" w:rsidP="00AA7610">
      <w:r>
        <w:t xml:space="preserve">Figures taken from Environment Agency data that was geo-referenced and published by The Rivers Trust at - </w:t>
      </w:r>
      <w:hyperlink r:id="rId5" w:history="1">
        <w:r w:rsidRPr="005758FC">
          <w:rPr>
            <w:rStyle w:val="Hyperlink"/>
          </w:rPr>
          <w:t>https://experience.arcgis.com/experience/e834e261b53740eba2fe6736e37bbc7b/</w:t>
        </w:r>
      </w:hyperlink>
    </w:p>
    <w:p w14:paraId="1D2EAE07" w14:textId="77777777" w:rsidR="00E14265" w:rsidRDefault="00E14265" w:rsidP="00AA7610"/>
    <w:sectPr w:rsidR="00E1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AA1"/>
    <w:multiLevelType w:val="hybridMultilevel"/>
    <w:tmpl w:val="2FD8015A"/>
    <w:lvl w:ilvl="0" w:tplc="5AEA1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0"/>
    <w:rsid w:val="000A48E3"/>
    <w:rsid w:val="00717D7D"/>
    <w:rsid w:val="00913438"/>
    <w:rsid w:val="00AA7610"/>
    <w:rsid w:val="00B3456D"/>
    <w:rsid w:val="00C607E7"/>
    <w:rsid w:val="00C76960"/>
    <w:rsid w:val="00D0548D"/>
    <w:rsid w:val="00E14265"/>
    <w:rsid w:val="00E56B36"/>
    <w:rsid w:val="00FC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A0BF"/>
  <w15:docId w15:val="{1FD07DCB-DA5F-43A0-9F28-068D092A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erience.arcgis.com/experience/e834e261b53740eba2fe6736e37bbc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Fran Evans</cp:lastModifiedBy>
  <cp:revision>2</cp:revision>
  <dcterms:created xsi:type="dcterms:W3CDTF">2021-07-08T13:03:00Z</dcterms:created>
  <dcterms:modified xsi:type="dcterms:W3CDTF">2021-07-08T13:03:00Z</dcterms:modified>
</cp:coreProperties>
</file>